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7125" w14:textId="77777777" w:rsidR="00D20173" w:rsidRDefault="00D20173" w:rsidP="00D20173">
      <w:pPr>
        <w:pStyle w:val="Default"/>
        <w:rPr>
          <w:sz w:val="26"/>
          <w:szCs w:val="26"/>
        </w:rPr>
      </w:pPr>
      <w:r>
        <w:rPr>
          <w:b/>
          <w:bCs/>
          <w:sz w:val="26"/>
          <w:szCs w:val="26"/>
        </w:rPr>
        <w:t xml:space="preserve">School Nurse Guide to Wyoming School Immunization Requirements (Kindergarten – Grade 12) </w:t>
      </w:r>
    </w:p>
    <w:p w14:paraId="674E5E7F" w14:textId="77777777" w:rsidR="00D20173" w:rsidRPr="00D20173" w:rsidRDefault="00D20173" w:rsidP="00D20173">
      <w:pPr>
        <w:pStyle w:val="Default"/>
        <w:rPr>
          <w:b/>
          <w:bCs/>
          <w:sz w:val="20"/>
          <w:szCs w:val="20"/>
        </w:rPr>
      </w:pPr>
      <w:r>
        <w:rPr>
          <w:b/>
          <w:bCs/>
          <w:sz w:val="20"/>
          <w:szCs w:val="20"/>
        </w:rPr>
        <w:t xml:space="preserve">Effective: 2013-2014 School Year </w:t>
      </w:r>
      <w:r>
        <w:rPr>
          <w:sz w:val="20"/>
          <w:szCs w:val="20"/>
        </w:rPr>
        <w:t xml:space="preserve">(Updated 08/12) </w:t>
      </w:r>
    </w:p>
    <w:p w14:paraId="448C27F8" w14:textId="77777777" w:rsidR="00D20173" w:rsidRDefault="00D20173" w:rsidP="00D20173">
      <w:pPr>
        <w:pStyle w:val="Default"/>
        <w:rPr>
          <w:b/>
          <w:bCs/>
          <w:sz w:val="18"/>
          <w:szCs w:val="18"/>
        </w:rPr>
      </w:pPr>
    </w:p>
    <w:p w14:paraId="4FE63C45" w14:textId="77777777" w:rsidR="00D20173" w:rsidRDefault="00D20173" w:rsidP="00D20173">
      <w:pPr>
        <w:pStyle w:val="Default"/>
        <w:rPr>
          <w:sz w:val="18"/>
          <w:szCs w:val="18"/>
        </w:rPr>
      </w:pPr>
      <w:r>
        <w:rPr>
          <w:b/>
          <w:bCs/>
          <w:sz w:val="18"/>
          <w:szCs w:val="18"/>
        </w:rPr>
        <w:t xml:space="preserve">Minimum Immunization Requirements: </w:t>
      </w:r>
      <w:r>
        <w:rPr>
          <w:sz w:val="18"/>
          <w:szCs w:val="18"/>
        </w:rPr>
        <w:t>1. Parents/guardians must provide proof of immunization or provide documentation of medical or religious exemption from mandatory immunizations. 2. A vaccine administered up to four (4) days prior to the minimum age/interval for that vaccine is considered compliant with that vaccine administration schedule.</w:t>
      </w:r>
    </w:p>
    <w:p w14:paraId="4EA3017A" w14:textId="77777777" w:rsidR="00D20173" w:rsidRDefault="00D20173" w:rsidP="00D20173">
      <w:pPr>
        <w:pStyle w:val="Default"/>
        <w:rPr>
          <w:sz w:val="20"/>
          <w:szCs w:val="20"/>
        </w:rPr>
      </w:pPr>
    </w:p>
    <w:tbl>
      <w:tblPr>
        <w:tblW w:w="14193" w:type="dxa"/>
        <w:tblBorders>
          <w:top w:val="nil"/>
          <w:left w:val="nil"/>
          <w:bottom w:val="nil"/>
          <w:right w:val="nil"/>
        </w:tblBorders>
        <w:tblLayout w:type="fixed"/>
        <w:tblLook w:val="0000" w:firstRow="0" w:lastRow="0" w:firstColumn="0" w:lastColumn="0" w:noHBand="0" w:noVBand="0"/>
      </w:tblPr>
      <w:tblGrid>
        <w:gridCol w:w="3528"/>
        <w:gridCol w:w="20"/>
        <w:gridCol w:w="3490"/>
        <w:gridCol w:w="58"/>
        <w:gridCol w:w="3548"/>
        <w:gridCol w:w="3549"/>
      </w:tblGrid>
      <w:tr w:rsidR="00D20173" w14:paraId="6A086914" w14:textId="77777777" w:rsidTr="00D20173">
        <w:trPr>
          <w:trHeight w:val="224"/>
        </w:trPr>
        <w:tc>
          <w:tcPr>
            <w:tcW w:w="3548" w:type="dxa"/>
            <w:gridSpan w:val="2"/>
          </w:tcPr>
          <w:p w14:paraId="5E7C7A10" w14:textId="77777777" w:rsidR="00D20173" w:rsidRDefault="00D20173">
            <w:pPr>
              <w:pStyle w:val="Default"/>
              <w:rPr>
                <w:sz w:val="21"/>
                <w:szCs w:val="21"/>
              </w:rPr>
            </w:pPr>
            <w:r>
              <w:rPr>
                <w:b/>
                <w:bCs/>
                <w:sz w:val="21"/>
                <w:szCs w:val="21"/>
              </w:rPr>
              <w:t xml:space="preserve">Vaccine </w:t>
            </w:r>
          </w:p>
        </w:tc>
        <w:tc>
          <w:tcPr>
            <w:tcW w:w="3548" w:type="dxa"/>
            <w:gridSpan w:val="2"/>
          </w:tcPr>
          <w:p w14:paraId="6863A25C" w14:textId="77777777" w:rsidR="00D20173" w:rsidRDefault="00D20173">
            <w:pPr>
              <w:pStyle w:val="Default"/>
              <w:rPr>
                <w:sz w:val="21"/>
                <w:szCs w:val="21"/>
              </w:rPr>
            </w:pPr>
            <w:r>
              <w:rPr>
                <w:b/>
                <w:bCs/>
                <w:sz w:val="21"/>
                <w:szCs w:val="21"/>
              </w:rPr>
              <w:t xml:space="preserve">Kindergarten - Grade 6 </w:t>
            </w:r>
          </w:p>
        </w:tc>
        <w:tc>
          <w:tcPr>
            <w:tcW w:w="3548" w:type="dxa"/>
          </w:tcPr>
          <w:p w14:paraId="51588880" w14:textId="77777777" w:rsidR="00D20173" w:rsidRDefault="00D20173">
            <w:pPr>
              <w:pStyle w:val="Default"/>
              <w:rPr>
                <w:sz w:val="21"/>
                <w:szCs w:val="21"/>
              </w:rPr>
            </w:pPr>
            <w:r>
              <w:rPr>
                <w:b/>
                <w:bCs/>
                <w:sz w:val="21"/>
                <w:szCs w:val="21"/>
              </w:rPr>
              <w:t xml:space="preserve">Grade 7 - 12 </w:t>
            </w:r>
          </w:p>
        </w:tc>
        <w:tc>
          <w:tcPr>
            <w:tcW w:w="3549" w:type="dxa"/>
          </w:tcPr>
          <w:p w14:paraId="4C79719D" w14:textId="77777777" w:rsidR="00D20173" w:rsidRDefault="00D20173">
            <w:pPr>
              <w:pStyle w:val="Default"/>
              <w:rPr>
                <w:sz w:val="21"/>
                <w:szCs w:val="21"/>
              </w:rPr>
            </w:pPr>
            <w:r>
              <w:rPr>
                <w:b/>
                <w:bCs/>
                <w:sz w:val="21"/>
                <w:szCs w:val="21"/>
              </w:rPr>
              <w:t xml:space="preserve">Footnotes </w:t>
            </w:r>
          </w:p>
        </w:tc>
      </w:tr>
      <w:tr w:rsidR="00D20173" w14:paraId="301BB93D" w14:textId="77777777" w:rsidTr="00D20173">
        <w:trPr>
          <w:trHeight w:val="290"/>
        </w:trPr>
        <w:tc>
          <w:tcPr>
            <w:tcW w:w="3548" w:type="dxa"/>
            <w:gridSpan w:val="2"/>
          </w:tcPr>
          <w:p w14:paraId="5FB40452" w14:textId="77777777" w:rsidR="00D20173" w:rsidRDefault="00D20173">
            <w:pPr>
              <w:pStyle w:val="Default"/>
              <w:rPr>
                <w:sz w:val="18"/>
                <w:szCs w:val="18"/>
              </w:rPr>
            </w:pPr>
            <w:r>
              <w:rPr>
                <w:sz w:val="18"/>
                <w:szCs w:val="18"/>
              </w:rPr>
              <w:t xml:space="preserve">Diphtheria/Tetanus/acellular Pertussis (DTaP) or Diphtheria/Tetanus/Pertussis (DTP) or Diphtheria/Tetanus (DT) </w:t>
            </w:r>
          </w:p>
        </w:tc>
        <w:tc>
          <w:tcPr>
            <w:tcW w:w="3548" w:type="dxa"/>
            <w:gridSpan w:val="2"/>
          </w:tcPr>
          <w:p w14:paraId="1816B8C0" w14:textId="77777777" w:rsidR="00D20173" w:rsidRDefault="00D20173">
            <w:pPr>
              <w:pStyle w:val="Default"/>
              <w:rPr>
                <w:sz w:val="18"/>
                <w:szCs w:val="18"/>
              </w:rPr>
            </w:pPr>
            <w:r>
              <w:rPr>
                <w:sz w:val="18"/>
                <w:szCs w:val="18"/>
              </w:rPr>
              <w:t xml:space="preserve">5 doses* </w:t>
            </w:r>
          </w:p>
        </w:tc>
        <w:tc>
          <w:tcPr>
            <w:tcW w:w="3548" w:type="dxa"/>
          </w:tcPr>
          <w:p w14:paraId="3ABA5400" w14:textId="77777777" w:rsidR="00D20173" w:rsidRDefault="00D20173">
            <w:pPr>
              <w:pStyle w:val="Default"/>
              <w:rPr>
                <w:sz w:val="18"/>
                <w:szCs w:val="18"/>
              </w:rPr>
            </w:pPr>
            <w:r>
              <w:rPr>
                <w:sz w:val="18"/>
                <w:szCs w:val="18"/>
              </w:rPr>
              <w:t xml:space="preserve">Complete Series </w:t>
            </w:r>
          </w:p>
          <w:p w14:paraId="19354AF6" w14:textId="77777777" w:rsidR="00D20173" w:rsidRDefault="00D20173">
            <w:pPr>
              <w:pStyle w:val="Default"/>
              <w:rPr>
                <w:sz w:val="18"/>
                <w:szCs w:val="18"/>
              </w:rPr>
            </w:pPr>
            <w:r>
              <w:rPr>
                <w:sz w:val="18"/>
                <w:szCs w:val="18"/>
              </w:rPr>
              <w:t xml:space="preserve">(Td for kids vaccinated ≥ age 7) </w:t>
            </w:r>
          </w:p>
        </w:tc>
        <w:tc>
          <w:tcPr>
            <w:tcW w:w="3549" w:type="dxa"/>
          </w:tcPr>
          <w:p w14:paraId="2C89735E" w14:textId="77777777" w:rsidR="00D20173" w:rsidRDefault="00D20173" w:rsidP="00D20173">
            <w:pPr>
              <w:pStyle w:val="Default"/>
              <w:rPr>
                <w:sz w:val="18"/>
                <w:szCs w:val="18"/>
              </w:rPr>
            </w:pPr>
            <w:r>
              <w:rPr>
                <w:sz w:val="18"/>
                <w:szCs w:val="18"/>
              </w:rPr>
              <w:t xml:space="preserve">*If a fourth dose of DTaP vaccine was administered on or after a child’s fourth birthday, and at least six months has passed since the third dose, a fifth dose is not required. </w:t>
            </w:r>
          </w:p>
        </w:tc>
      </w:tr>
      <w:tr w:rsidR="00D20173" w14:paraId="59A4AF3D" w14:textId="77777777" w:rsidTr="00D20173">
        <w:trPr>
          <w:trHeight w:val="395"/>
        </w:trPr>
        <w:tc>
          <w:tcPr>
            <w:tcW w:w="3548" w:type="dxa"/>
            <w:gridSpan w:val="2"/>
          </w:tcPr>
          <w:p w14:paraId="329E15B4" w14:textId="77777777" w:rsidR="00D20173" w:rsidRDefault="00D20173">
            <w:pPr>
              <w:pStyle w:val="Default"/>
              <w:rPr>
                <w:sz w:val="18"/>
                <w:szCs w:val="18"/>
              </w:rPr>
            </w:pPr>
            <w:r>
              <w:rPr>
                <w:sz w:val="18"/>
                <w:szCs w:val="18"/>
              </w:rPr>
              <w:t xml:space="preserve">Haemophilus influenzae type b (Hib) </w:t>
            </w:r>
          </w:p>
        </w:tc>
        <w:tc>
          <w:tcPr>
            <w:tcW w:w="3548" w:type="dxa"/>
            <w:gridSpan w:val="2"/>
          </w:tcPr>
          <w:p w14:paraId="75B36B3C" w14:textId="77777777" w:rsidR="00D20173" w:rsidRDefault="00D20173">
            <w:pPr>
              <w:pStyle w:val="Default"/>
              <w:rPr>
                <w:sz w:val="18"/>
                <w:szCs w:val="18"/>
              </w:rPr>
            </w:pPr>
            <w:r>
              <w:rPr>
                <w:sz w:val="18"/>
                <w:szCs w:val="18"/>
              </w:rPr>
              <w:t xml:space="preserve">“Complete Valid Series” </w:t>
            </w:r>
          </w:p>
          <w:p w14:paraId="7F25DC9F" w14:textId="77777777" w:rsidR="00D20173" w:rsidRDefault="00D20173">
            <w:pPr>
              <w:pStyle w:val="Default"/>
              <w:rPr>
                <w:sz w:val="12"/>
                <w:szCs w:val="12"/>
              </w:rPr>
            </w:pPr>
            <w:r>
              <w:rPr>
                <w:sz w:val="18"/>
                <w:szCs w:val="18"/>
              </w:rPr>
              <w:t>(i.e. 1-4 doses*</w:t>
            </w:r>
            <w:r>
              <w:rPr>
                <w:sz w:val="12"/>
                <w:szCs w:val="12"/>
              </w:rPr>
              <w:t xml:space="preserve">) </w:t>
            </w:r>
          </w:p>
        </w:tc>
        <w:tc>
          <w:tcPr>
            <w:tcW w:w="3548" w:type="dxa"/>
          </w:tcPr>
          <w:p w14:paraId="6A8DBB77" w14:textId="77777777" w:rsidR="00D20173" w:rsidRDefault="00D20173">
            <w:pPr>
              <w:pStyle w:val="Default"/>
              <w:rPr>
                <w:sz w:val="18"/>
                <w:szCs w:val="18"/>
              </w:rPr>
            </w:pPr>
            <w:r>
              <w:rPr>
                <w:sz w:val="18"/>
                <w:szCs w:val="18"/>
              </w:rPr>
              <w:t xml:space="preserve">n/a </w:t>
            </w:r>
          </w:p>
        </w:tc>
        <w:tc>
          <w:tcPr>
            <w:tcW w:w="3549" w:type="dxa"/>
          </w:tcPr>
          <w:p w14:paraId="5A5DC03C" w14:textId="77777777" w:rsidR="00D20173" w:rsidRDefault="00D20173" w:rsidP="00D20173">
            <w:pPr>
              <w:pStyle w:val="Default"/>
              <w:rPr>
                <w:sz w:val="18"/>
                <w:szCs w:val="18"/>
              </w:rPr>
            </w:pPr>
            <w:r>
              <w:rPr>
                <w:sz w:val="18"/>
                <w:szCs w:val="18"/>
              </w:rPr>
              <w:t xml:space="preserve">*The number of primary doses of Hib vaccine is determined by vaccine product and age the series begins. If a child has not received the completed series of Hib vaccine and is younger than 60 months (5 years) of age, the child should receive one dose of the Hib vaccine. Hib vaccine is not required for children age 5 years and older. </w:t>
            </w:r>
          </w:p>
        </w:tc>
      </w:tr>
      <w:tr w:rsidR="00D20173" w14:paraId="43B65E70" w14:textId="77777777" w:rsidTr="00D20173">
        <w:trPr>
          <w:trHeight w:val="292"/>
        </w:trPr>
        <w:tc>
          <w:tcPr>
            <w:tcW w:w="3548" w:type="dxa"/>
            <w:gridSpan w:val="2"/>
          </w:tcPr>
          <w:p w14:paraId="1DE39127" w14:textId="77777777" w:rsidR="00D20173" w:rsidRDefault="00D20173">
            <w:pPr>
              <w:pStyle w:val="Default"/>
              <w:rPr>
                <w:sz w:val="18"/>
                <w:szCs w:val="18"/>
              </w:rPr>
            </w:pPr>
            <w:r>
              <w:rPr>
                <w:sz w:val="18"/>
                <w:szCs w:val="18"/>
              </w:rPr>
              <w:t xml:space="preserve">Hepatitis B (Hep B) </w:t>
            </w:r>
          </w:p>
        </w:tc>
        <w:tc>
          <w:tcPr>
            <w:tcW w:w="3548" w:type="dxa"/>
            <w:gridSpan w:val="2"/>
          </w:tcPr>
          <w:p w14:paraId="3E443E6A" w14:textId="77777777" w:rsidR="00D20173" w:rsidRDefault="00D20173">
            <w:pPr>
              <w:pStyle w:val="Default"/>
              <w:rPr>
                <w:sz w:val="18"/>
                <w:szCs w:val="18"/>
              </w:rPr>
            </w:pPr>
            <w:r>
              <w:rPr>
                <w:sz w:val="18"/>
                <w:szCs w:val="18"/>
              </w:rPr>
              <w:t xml:space="preserve">3 doses </w:t>
            </w:r>
          </w:p>
        </w:tc>
        <w:tc>
          <w:tcPr>
            <w:tcW w:w="3548" w:type="dxa"/>
          </w:tcPr>
          <w:p w14:paraId="5B1B39A7" w14:textId="77777777" w:rsidR="00D20173" w:rsidRDefault="00D20173">
            <w:pPr>
              <w:pStyle w:val="Default"/>
              <w:rPr>
                <w:sz w:val="18"/>
                <w:szCs w:val="18"/>
              </w:rPr>
            </w:pPr>
            <w:r>
              <w:rPr>
                <w:sz w:val="18"/>
                <w:szCs w:val="18"/>
              </w:rPr>
              <w:t xml:space="preserve">2-3 doses** </w:t>
            </w:r>
          </w:p>
        </w:tc>
        <w:tc>
          <w:tcPr>
            <w:tcW w:w="3549" w:type="dxa"/>
          </w:tcPr>
          <w:p w14:paraId="3E7FB102" w14:textId="77777777" w:rsidR="00D20173" w:rsidRDefault="00D20173">
            <w:pPr>
              <w:pStyle w:val="Default"/>
              <w:rPr>
                <w:sz w:val="18"/>
                <w:szCs w:val="18"/>
              </w:rPr>
            </w:pPr>
            <w:r>
              <w:rPr>
                <w:sz w:val="18"/>
                <w:szCs w:val="18"/>
              </w:rPr>
              <w:t xml:space="preserve">**Students who are in the 12th grade during the 2012-2013 school year will be required to have at least 2 doses of hepatitis B vaccine, according to the previous Rules and Regulations for School Immunizations. </w:t>
            </w:r>
          </w:p>
        </w:tc>
      </w:tr>
      <w:tr w:rsidR="00D20173" w14:paraId="563AC105" w14:textId="77777777" w:rsidTr="00D20173">
        <w:trPr>
          <w:trHeight w:val="84"/>
        </w:trPr>
        <w:tc>
          <w:tcPr>
            <w:tcW w:w="3528" w:type="dxa"/>
          </w:tcPr>
          <w:p w14:paraId="4651B7D1" w14:textId="77777777" w:rsidR="00D20173" w:rsidRDefault="00D20173">
            <w:pPr>
              <w:pStyle w:val="Default"/>
              <w:rPr>
                <w:sz w:val="18"/>
                <w:szCs w:val="18"/>
              </w:rPr>
            </w:pPr>
            <w:r>
              <w:rPr>
                <w:sz w:val="18"/>
                <w:szCs w:val="18"/>
              </w:rPr>
              <w:t xml:space="preserve">Measles/Mumps/Rubella (MMR) </w:t>
            </w:r>
          </w:p>
        </w:tc>
        <w:tc>
          <w:tcPr>
            <w:tcW w:w="3510" w:type="dxa"/>
            <w:gridSpan w:val="2"/>
          </w:tcPr>
          <w:p w14:paraId="4805B18E" w14:textId="77777777" w:rsidR="00D20173" w:rsidRDefault="00D20173">
            <w:pPr>
              <w:pStyle w:val="Default"/>
              <w:rPr>
                <w:sz w:val="18"/>
                <w:szCs w:val="18"/>
              </w:rPr>
            </w:pPr>
            <w:r>
              <w:rPr>
                <w:sz w:val="18"/>
                <w:szCs w:val="18"/>
              </w:rPr>
              <w:t xml:space="preserve"> 2 doses </w:t>
            </w:r>
          </w:p>
        </w:tc>
        <w:tc>
          <w:tcPr>
            <w:tcW w:w="7155" w:type="dxa"/>
            <w:gridSpan w:val="3"/>
          </w:tcPr>
          <w:p w14:paraId="1D796C41" w14:textId="77777777" w:rsidR="00D20173" w:rsidRDefault="00D20173">
            <w:pPr>
              <w:pStyle w:val="Default"/>
              <w:rPr>
                <w:sz w:val="18"/>
                <w:szCs w:val="18"/>
              </w:rPr>
            </w:pPr>
            <w:r>
              <w:rPr>
                <w:sz w:val="18"/>
                <w:szCs w:val="18"/>
              </w:rPr>
              <w:t xml:space="preserve"> 2 doses </w:t>
            </w:r>
          </w:p>
        </w:tc>
      </w:tr>
      <w:tr w:rsidR="00D20173" w14:paraId="7FAE9C68" w14:textId="77777777" w:rsidTr="00D20173">
        <w:trPr>
          <w:trHeight w:val="601"/>
        </w:trPr>
        <w:tc>
          <w:tcPr>
            <w:tcW w:w="3548" w:type="dxa"/>
            <w:gridSpan w:val="2"/>
          </w:tcPr>
          <w:p w14:paraId="270BBAA1" w14:textId="77777777" w:rsidR="00D20173" w:rsidRDefault="00D20173">
            <w:pPr>
              <w:pStyle w:val="Default"/>
              <w:rPr>
                <w:sz w:val="18"/>
                <w:szCs w:val="18"/>
              </w:rPr>
            </w:pPr>
            <w:r>
              <w:rPr>
                <w:sz w:val="18"/>
                <w:szCs w:val="18"/>
              </w:rPr>
              <w:t xml:space="preserve">Polio (IPV) </w:t>
            </w:r>
          </w:p>
        </w:tc>
        <w:tc>
          <w:tcPr>
            <w:tcW w:w="3548" w:type="dxa"/>
            <w:gridSpan w:val="2"/>
          </w:tcPr>
          <w:p w14:paraId="080375DA" w14:textId="77777777" w:rsidR="00D20173" w:rsidRDefault="00D20173">
            <w:pPr>
              <w:pStyle w:val="Default"/>
              <w:rPr>
                <w:sz w:val="18"/>
                <w:szCs w:val="18"/>
              </w:rPr>
            </w:pPr>
            <w:r>
              <w:rPr>
                <w:sz w:val="18"/>
                <w:szCs w:val="18"/>
              </w:rPr>
              <w:t xml:space="preserve">3-4 doses* </w:t>
            </w:r>
          </w:p>
        </w:tc>
        <w:tc>
          <w:tcPr>
            <w:tcW w:w="3548" w:type="dxa"/>
          </w:tcPr>
          <w:p w14:paraId="07CCEAFD" w14:textId="77777777" w:rsidR="00D20173" w:rsidRDefault="00D20173">
            <w:pPr>
              <w:pStyle w:val="Default"/>
              <w:rPr>
                <w:sz w:val="18"/>
                <w:szCs w:val="18"/>
              </w:rPr>
            </w:pPr>
            <w:r>
              <w:rPr>
                <w:sz w:val="18"/>
                <w:szCs w:val="18"/>
              </w:rPr>
              <w:t xml:space="preserve">3-4 doses </w:t>
            </w:r>
          </w:p>
        </w:tc>
        <w:tc>
          <w:tcPr>
            <w:tcW w:w="3549" w:type="dxa"/>
          </w:tcPr>
          <w:p w14:paraId="5B5FA7A0" w14:textId="77777777" w:rsidR="00D20173" w:rsidRDefault="00D20173">
            <w:pPr>
              <w:pStyle w:val="Default"/>
              <w:rPr>
                <w:sz w:val="18"/>
                <w:szCs w:val="18"/>
              </w:rPr>
            </w:pPr>
            <w:r>
              <w:rPr>
                <w:sz w:val="18"/>
                <w:szCs w:val="18"/>
              </w:rPr>
              <w:t xml:space="preserve">*Children who receive three (3) doses of IPV before the fourth (4th) birthday should receive a fourth (4th) dose before or at school entry. The fourth (4th) dose is not needed if the third (3rd) dose is given on or after the fourth (4th) birthday. If all four (4) doses are given after six (6) weeks of age and are all separated by at least four (4) weeks, a fifth (5th) dose is not needed, even if the fourth (4th) dose was administered before four (4) years of age. </w:t>
            </w:r>
          </w:p>
        </w:tc>
      </w:tr>
      <w:tr w:rsidR="00D20173" w14:paraId="2ED7D24F" w14:textId="77777777" w:rsidTr="00D20173">
        <w:trPr>
          <w:trHeight w:val="763"/>
        </w:trPr>
        <w:tc>
          <w:tcPr>
            <w:tcW w:w="3548" w:type="dxa"/>
            <w:gridSpan w:val="2"/>
          </w:tcPr>
          <w:p w14:paraId="68B34893" w14:textId="77777777" w:rsidR="00D20173" w:rsidRDefault="00D20173">
            <w:pPr>
              <w:pStyle w:val="Default"/>
              <w:rPr>
                <w:sz w:val="12"/>
                <w:szCs w:val="12"/>
              </w:rPr>
            </w:pPr>
            <w:r>
              <w:rPr>
                <w:sz w:val="18"/>
                <w:szCs w:val="18"/>
              </w:rPr>
              <w:lastRenderedPageBreak/>
              <w:t>Tetanus/diphtheria/acellular pertussis (Tdap)</w:t>
            </w:r>
            <w:r>
              <w:rPr>
                <w:sz w:val="12"/>
                <w:szCs w:val="12"/>
              </w:rPr>
              <w:t xml:space="preserve">5 </w:t>
            </w:r>
          </w:p>
        </w:tc>
        <w:tc>
          <w:tcPr>
            <w:tcW w:w="3548" w:type="dxa"/>
            <w:gridSpan w:val="2"/>
          </w:tcPr>
          <w:p w14:paraId="40F426EA" w14:textId="77777777" w:rsidR="00D20173" w:rsidRDefault="00D20173">
            <w:pPr>
              <w:pStyle w:val="Default"/>
              <w:rPr>
                <w:sz w:val="18"/>
                <w:szCs w:val="18"/>
              </w:rPr>
            </w:pPr>
            <w:r>
              <w:rPr>
                <w:sz w:val="18"/>
                <w:szCs w:val="18"/>
              </w:rPr>
              <w:t xml:space="preserve">n/a </w:t>
            </w:r>
          </w:p>
        </w:tc>
        <w:tc>
          <w:tcPr>
            <w:tcW w:w="3548" w:type="dxa"/>
          </w:tcPr>
          <w:p w14:paraId="7185ADFB" w14:textId="77777777" w:rsidR="00D20173" w:rsidRDefault="00D20173">
            <w:pPr>
              <w:pStyle w:val="Default"/>
              <w:rPr>
                <w:sz w:val="18"/>
                <w:szCs w:val="18"/>
              </w:rPr>
            </w:pPr>
            <w:r>
              <w:rPr>
                <w:sz w:val="18"/>
                <w:szCs w:val="18"/>
              </w:rPr>
              <w:t xml:space="preserve">1 dose*** </w:t>
            </w:r>
          </w:p>
        </w:tc>
        <w:tc>
          <w:tcPr>
            <w:tcW w:w="3549" w:type="dxa"/>
          </w:tcPr>
          <w:p w14:paraId="30706142" w14:textId="77777777" w:rsidR="00D20173" w:rsidRDefault="00D20173">
            <w:pPr>
              <w:pStyle w:val="Default"/>
              <w:rPr>
                <w:sz w:val="18"/>
                <w:szCs w:val="18"/>
              </w:rPr>
            </w:pPr>
            <w:r>
              <w:rPr>
                <w:sz w:val="18"/>
                <w:szCs w:val="18"/>
              </w:rPr>
              <w:t xml:space="preserve">***Children eleven (11) years of age and older should receive the Tdap vaccine. Children with a medical contraindication to the pertussis (whooping cough) antigen should receive Td instead of the Tdap vaccine. Tdap vaccine may be administered to a child regardless of the interval since the last tetanus- or diphtheria-toxoid containing vaccine. </w:t>
            </w:r>
          </w:p>
          <w:p w14:paraId="624FEA2E" w14:textId="77777777" w:rsidR="00D20173" w:rsidRDefault="00D20173">
            <w:pPr>
              <w:pStyle w:val="Default"/>
              <w:rPr>
                <w:sz w:val="18"/>
                <w:szCs w:val="18"/>
              </w:rPr>
            </w:pPr>
            <w:r>
              <w:rPr>
                <w:sz w:val="18"/>
                <w:szCs w:val="18"/>
              </w:rPr>
              <w:t xml:space="preserve">During the 2012-2013 school year, any student in grades nine (9) through 12 is considered exempt with the immunization requirements for Tdap, according to when the new school rules became effective on 08/17/10. </w:t>
            </w:r>
          </w:p>
        </w:tc>
      </w:tr>
      <w:tr w:rsidR="00D20173" w14:paraId="62CE4A9F" w14:textId="77777777" w:rsidTr="00D20173">
        <w:trPr>
          <w:trHeight w:val="498"/>
        </w:trPr>
        <w:tc>
          <w:tcPr>
            <w:tcW w:w="3548" w:type="dxa"/>
            <w:gridSpan w:val="2"/>
          </w:tcPr>
          <w:p w14:paraId="28ABF43F" w14:textId="77777777" w:rsidR="00D20173" w:rsidRDefault="00D20173">
            <w:pPr>
              <w:pStyle w:val="Default"/>
              <w:rPr>
                <w:sz w:val="18"/>
                <w:szCs w:val="18"/>
              </w:rPr>
            </w:pPr>
            <w:r>
              <w:rPr>
                <w:sz w:val="18"/>
                <w:szCs w:val="18"/>
              </w:rPr>
              <w:t xml:space="preserve">Varicella (chickenpox) </w:t>
            </w:r>
          </w:p>
        </w:tc>
        <w:tc>
          <w:tcPr>
            <w:tcW w:w="3548" w:type="dxa"/>
            <w:gridSpan w:val="2"/>
          </w:tcPr>
          <w:p w14:paraId="67C5DCAA" w14:textId="77777777" w:rsidR="00D20173" w:rsidRDefault="00D20173">
            <w:pPr>
              <w:pStyle w:val="Default"/>
              <w:rPr>
                <w:sz w:val="18"/>
                <w:szCs w:val="18"/>
              </w:rPr>
            </w:pPr>
            <w:r>
              <w:rPr>
                <w:sz w:val="18"/>
                <w:szCs w:val="18"/>
              </w:rPr>
              <w:t xml:space="preserve">2 doses (or documented history of disease)**** </w:t>
            </w:r>
          </w:p>
        </w:tc>
        <w:tc>
          <w:tcPr>
            <w:tcW w:w="3548" w:type="dxa"/>
          </w:tcPr>
          <w:p w14:paraId="2CAF6669" w14:textId="77777777" w:rsidR="00D20173" w:rsidRDefault="00D20173">
            <w:pPr>
              <w:pStyle w:val="Default"/>
              <w:rPr>
                <w:sz w:val="18"/>
                <w:szCs w:val="18"/>
              </w:rPr>
            </w:pPr>
            <w:r>
              <w:rPr>
                <w:sz w:val="18"/>
                <w:szCs w:val="18"/>
              </w:rPr>
              <w:t xml:space="preserve">2 doses (or documented history of disease)**** </w:t>
            </w:r>
          </w:p>
        </w:tc>
        <w:tc>
          <w:tcPr>
            <w:tcW w:w="3549" w:type="dxa"/>
          </w:tcPr>
          <w:p w14:paraId="5FF89F43" w14:textId="77777777" w:rsidR="00D20173" w:rsidRDefault="00D20173">
            <w:pPr>
              <w:pStyle w:val="Default"/>
              <w:rPr>
                <w:sz w:val="18"/>
                <w:szCs w:val="18"/>
              </w:rPr>
            </w:pPr>
            <w:r>
              <w:rPr>
                <w:sz w:val="18"/>
                <w:szCs w:val="18"/>
              </w:rPr>
              <w:t xml:space="preserve">****If a child has had chickenpox, the parent, guardian, school nurse, or physician must provide a written statement for the student’s permanent school record. </w:t>
            </w:r>
          </w:p>
          <w:p w14:paraId="6002B45D" w14:textId="77777777" w:rsidR="00D20173" w:rsidRDefault="00D20173">
            <w:pPr>
              <w:pStyle w:val="Default"/>
              <w:rPr>
                <w:sz w:val="18"/>
                <w:szCs w:val="18"/>
              </w:rPr>
            </w:pPr>
            <w:r>
              <w:rPr>
                <w:sz w:val="18"/>
                <w:szCs w:val="18"/>
              </w:rPr>
              <w:t xml:space="preserve">A student who has been diagnosed with a history of herpes zoster (i.e. Shingles) is considered as having evidence of immunity to Varicella. </w:t>
            </w:r>
          </w:p>
        </w:tc>
      </w:tr>
    </w:tbl>
    <w:p w14:paraId="1F1192C0" w14:textId="77777777" w:rsidR="00EA2DBB" w:rsidRDefault="00EA2DBB"/>
    <w:sectPr w:rsidR="00EA2DBB" w:rsidSect="00D201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73"/>
    <w:rsid w:val="00D20173"/>
    <w:rsid w:val="00E510B3"/>
    <w:rsid w:val="00EA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5E31"/>
  <w15:docId w15:val="{A54EE201-0066-6E48-911E-735C76EC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1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Makena Cameron</cp:lastModifiedBy>
  <cp:revision>2</cp:revision>
  <dcterms:created xsi:type="dcterms:W3CDTF">2023-11-13T04:14:00Z</dcterms:created>
  <dcterms:modified xsi:type="dcterms:W3CDTF">2023-11-13T04:14:00Z</dcterms:modified>
</cp:coreProperties>
</file>